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Утвержден постановлением Правительства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31 декабря 2020 г. N 2463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ТОВАРОВ ДЛИТЕЛЬНОГО ПОЛЬЗОВАНИЯ, НА КОТОРЫЕ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 РАСПРОСТРАНЯЕТСЯ ТРЕБОВАНИЕ ПОТРЕБИТЕЛЯ О БЕЗВОЗМЕЗДНОМ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ПРЕДОСТАВЛЕНИИ ЕМУ ТОВАРА, ОБЛАДАЮЩЕГО ЭТИМИ ЖЕ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ОСНОВНЫМИ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ПОТРЕБИТЕЛЬСКИМИ СВОЙСТВАМИ, НА ПЕРИОД РЕМОНТА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ИЛИ ЗАМЕНЫ ТАКОГО ТОВАРА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1. Автомобили, мотоциклы и другие виды мототехники,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мототехники, кроме товаров, предназначенных для использования инвалидами, прогулочные суда и плавсредства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2. Мебель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3. Электробытовые приборы, используемые как предметы туалета и в медицинских целях (электробритвы, электрофены, электрощипцы для 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5.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6. Ювелирные и другие изделия из драгоценных металлов и (или) драгоценных камней, ограненные драгоценные камни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ind w:firstLine="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ind w:firstLine="44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